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52A8" w14:textId="5D73EFC4" w:rsidR="00004C5E" w:rsidRPr="00AE7AF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CONFIRMED</w:t>
      </w:r>
    </w:p>
    <w:p w14:paraId="08FE1505" w14:textId="3D333E1F" w:rsidR="00E350B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Minister of Education</w:t>
      </w:r>
      <w:r w:rsidR="00003E7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8C5E9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cience</w:t>
      </w:r>
      <w:r w:rsidR="00003E7A">
        <w:rPr>
          <w:rFonts w:ascii="Times New Roman" w:hAnsi="Times New Roman"/>
          <w:sz w:val="24"/>
          <w:szCs w:val="24"/>
        </w:rPr>
        <w:t xml:space="preserve"> and Sport</w:t>
      </w:r>
      <w:r>
        <w:rPr>
          <w:rFonts w:ascii="Times New Roman" w:hAnsi="Times New Roman"/>
          <w:sz w:val="24"/>
          <w:szCs w:val="24"/>
        </w:rPr>
        <w:t xml:space="preserve"> of the Republic of Lithuania</w:t>
      </w:r>
    </w:p>
    <w:p w14:paraId="7130C70E" w14:textId="352B487A" w:rsidR="00004C5E" w:rsidRPr="00AE7AF7" w:rsidRDefault="00E350B7" w:rsidP="00DF529E">
      <w:pPr>
        <w:ind w:left="9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C534B">
        <w:rPr>
          <w:rFonts w:ascii="Times New Roman" w:hAnsi="Times New Roman"/>
          <w:sz w:val="24"/>
          <w:szCs w:val="24"/>
        </w:rPr>
        <w:t>15 December</w:t>
      </w:r>
      <w:r>
        <w:rPr>
          <w:rFonts w:ascii="Times New Roman" w:hAnsi="Times New Roman"/>
          <w:sz w:val="24"/>
          <w:szCs w:val="24"/>
        </w:rPr>
        <w:t xml:space="preserve"> </w:t>
      </w:r>
      <w:r w:rsidR="00004C5E" w:rsidRPr="00AE7AF7">
        <w:rPr>
          <w:rFonts w:ascii="Times New Roman" w:hAnsi="Times New Roman"/>
          <w:sz w:val="24"/>
          <w:szCs w:val="24"/>
        </w:rPr>
        <w:t>20</w:t>
      </w:r>
      <w:r w:rsidR="003F36CE">
        <w:rPr>
          <w:rFonts w:ascii="Times New Roman" w:hAnsi="Times New Roman"/>
          <w:sz w:val="24"/>
          <w:szCs w:val="24"/>
        </w:rPr>
        <w:t>2</w:t>
      </w:r>
      <w:r w:rsidR="00807DC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="00A73397">
        <w:rPr>
          <w:rFonts w:ascii="Times New Roman" w:hAnsi="Times New Roman"/>
          <w:sz w:val="24"/>
          <w:szCs w:val="24"/>
        </w:rPr>
        <w:t>Order</w:t>
      </w:r>
      <w:r>
        <w:rPr>
          <w:rFonts w:ascii="Times New Roman" w:hAnsi="Times New Roman"/>
          <w:sz w:val="24"/>
          <w:szCs w:val="24"/>
        </w:rPr>
        <w:t xml:space="preserve"> No</w:t>
      </w:r>
      <w:r w:rsidR="00C162B1" w:rsidRPr="00AE7AF7">
        <w:rPr>
          <w:rFonts w:ascii="Times New Roman" w:hAnsi="Times New Roman"/>
          <w:sz w:val="24"/>
          <w:szCs w:val="24"/>
        </w:rPr>
        <w:t>.</w:t>
      </w:r>
      <w:r w:rsidR="00B00BAF" w:rsidRPr="00AE7AF7">
        <w:rPr>
          <w:rFonts w:ascii="Times New Roman" w:hAnsi="Times New Roman"/>
          <w:sz w:val="24"/>
          <w:szCs w:val="24"/>
        </w:rPr>
        <w:t xml:space="preserve"> </w:t>
      </w:r>
      <w:r w:rsidR="00AA1DFF" w:rsidRPr="00AE7AF7">
        <w:rPr>
          <w:rFonts w:ascii="Times New Roman" w:hAnsi="Times New Roman"/>
          <w:sz w:val="24"/>
          <w:szCs w:val="24"/>
        </w:rPr>
        <w:t>V-</w:t>
      </w:r>
      <w:r w:rsidR="00EC534B">
        <w:rPr>
          <w:rFonts w:ascii="Times New Roman" w:hAnsi="Times New Roman"/>
          <w:sz w:val="24"/>
          <w:szCs w:val="24"/>
        </w:rPr>
        <w:t>1957</w:t>
      </w:r>
      <w:r>
        <w:rPr>
          <w:rFonts w:ascii="Times New Roman" w:hAnsi="Times New Roman"/>
          <w:sz w:val="24"/>
          <w:szCs w:val="24"/>
        </w:rPr>
        <w:t>)</w:t>
      </w:r>
      <w:r w:rsidR="00C162B1" w:rsidRPr="00AE7AF7">
        <w:rPr>
          <w:rFonts w:ascii="Times New Roman" w:hAnsi="Times New Roman"/>
          <w:sz w:val="24"/>
          <w:szCs w:val="24"/>
        </w:rPr>
        <w:t xml:space="preserve"> </w:t>
      </w:r>
    </w:p>
    <w:p w14:paraId="77514920" w14:textId="77777777" w:rsidR="00004C5E" w:rsidRPr="00AE7AF7" w:rsidRDefault="00004C5E" w:rsidP="00004C5E">
      <w:pPr>
        <w:ind w:left="6235"/>
        <w:rPr>
          <w:rFonts w:ascii="Times New Roman" w:hAnsi="Times New Roman"/>
          <w:sz w:val="16"/>
          <w:szCs w:val="16"/>
        </w:rPr>
      </w:pPr>
    </w:p>
    <w:p w14:paraId="1B0B55C2" w14:textId="77777777" w:rsidR="00971A56" w:rsidRDefault="00971A56" w:rsidP="00004C5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6F3B67" w14:textId="24671594" w:rsidR="00004C5E" w:rsidRPr="00C30000" w:rsidRDefault="00AE7AF7" w:rsidP="00004C5E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0000">
        <w:rPr>
          <w:rFonts w:ascii="Times New Roman" w:hAnsi="Times New Roman"/>
          <w:b/>
          <w:sz w:val="28"/>
          <w:szCs w:val="28"/>
        </w:rPr>
        <w:t xml:space="preserve">NATIONAL STANDARD STUDY PRICES FOR FULL-TIME MASTER DEGREE STUDIES </w:t>
      </w:r>
      <w:r w:rsidR="00EC534B">
        <w:rPr>
          <w:rFonts w:ascii="Times New Roman" w:hAnsi="Times New Roman"/>
          <w:b/>
          <w:sz w:val="28"/>
          <w:szCs w:val="28"/>
        </w:rPr>
        <w:t>IN 2023</w:t>
      </w:r>
      <w:bookmarkStart w:id="0" w:name="_GoBack"/>
      <w:bookmarkEnd w:id="0"/>
    </w:p>
    <w:p w14:paraId="3A468BC0" w14:textId="77777777" w:rsidR="006667AD" w:rsidRPr="00AE7AF7" w:rsidRDefault="006667AD" w:rsidP="00B46BE4">
      <w:pPr>
        <w:tabs>
          <w:tab w:val="left" w:pos="4680"/>
        </w:tabs>
        <w:jc w:val="center"/>
        <w:rPr>
          <w:rFonts w:ascii="Times New Roman" w:hAnsi="Times New Roman"/>
          <w:b/>
          <w:caps/>
          <w:sz w:val="16"/>
          <w:szCs w:val="16"/>
        </w:rPr>
      </w:pPr>
    </w:p>
    <w:tbl>
      <w:tblPr>
        <w:tblW w:w="148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9923"/>
        <w:gridCol w:w="3686"/>
      </w:tblGrid>
      <w:tr w:rsidR="00AE7AF7" w:rsidRPr="00AE7AF7" w14:paraId="203F9166" w14:textId="73F636A6" w:rsidTr="00C30000">
        <w:trPr>
          <w:cantSplit/>
          <w:trHeight w:val="779"/>
        </w:trPr>
        <w:tc>
          <w:tcPr>
            <w:tcW w:w="12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6C1A78" w14:textId="1ED60A87" w:rsidR="00AE7AF7" w:rsidRP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Seq. No.</w:t>
            </w:r>
          </w:p>
        </w:tc>
        <w:tc>
          <w:tcPr>
            <w:tcW w:w="992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3FA4" w14:textId="23485549" w:rsidR="00AE7AF7" w:rsidRPr="00C30000" w:rsidRDefault="00A96BDD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</w:t>
            </w:r>
            <w:r w:rsidR="00AE7AF7"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tudy field (study programme’s group) 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14:paraId="28FC9F26" w14:textId="77777777" w:rsidR="00A96BDD" w:rsidRPr="00A96BDD" w:rsidRDefault="00A96BDD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16"/>
                <w:szCs w:val="16"/>
                <w:lang w:eastAsia="lt-LT"/>
              </w:rPr>
            </w:pPr>
          </w:p>
          <w:p w14:paraId="1D2E9C6A" w14:textId="77777777" w:rsid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National standard study price </w:t>
            </w:r>
          </w:p>
          <w:p w14:paraId="479B68ED" w14:textId="20335B29" w:rsidR="00AE7AF7" w:rsidRPr="00C30000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C30000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(EUR, per academic year)</w:t>
            </w:r>
          </w:p>
        </w:tc>
      </w:tr>
      <w:tr w:rsidR="00AE7AF7" w:rsidRPr="00AE7AF7" w14:paraId="263C9161" w14:textId="77777777" w:rsidTr="00A96BDD">
        <w:trPr>
          <w:cantSplit/>
          <w:trHeight w:val="379"/>
        </w:trPr>
        <w:tc>
          <w:tcPr>
            <w:tcW w:w="1287" w:type="dxa"/>
            <w:vMerge/>
            <w:vAlign w:val="center"/>
          </w:tcPr>
          <w:p w14:paraId="6F5F75DE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9923" w:type="dxa"/>
            <w:vMerge/>
            <w:vAlign w:val="center"/>
          </w:tcPr>
          <w:p w14:paraId="3C39C015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3686" w:type="dxa"/>
            <w:vMerge/>
          </w:tcPr>
          <w:p w14:paraId="23641971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</w:tr>
      <w:tr w:rsidR="00AE7AF7" w:rsidRPr="00AE7AF7" w14:paraId="2EB60CD7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7CA1FDF1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D98003B" w14:textId="1D6D7FFE" w:rsidR="00AE7AF7" w:rsidRPr="00AE7AF7" w:rsidRDefault="00DF5942" w:rsidP="00CA5E37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Ling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uistics, Literary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Lingual Studies Study Fields,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History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Philosophy, Theology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Heritage Studies, Religious Studies, Cultural Studies, History and Theory of Art, Economics, Political Sciences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ociolog</w:t>
            </w:r>
            <w:r w:rsidR="00AE7AF7"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, 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ocial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Work, A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nt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hropology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Human Geography, I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nforma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tion Services, Communication, Publishing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Journalism Study Field, Law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Business and Public Administration 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>Study Fields’ Groups</w:t>
            </w:r>
          </w:p>
        </w:tc>
        <w:tc>
          <w:tcPr>
            <w:tcW w:w="3686" w:type="dxa"/>
          </w:tcPr>
          <w:p w14:paraId="339B7518" w14:textId="5651645B" w:rsidR="00AE7AF7" w:rsidRPr="00AE7AF7" w:rsidRDefault="00807DC2" w:rsidP="003F36CE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</w:p>
        </w:tc>
      </w:tr>
      <w:tr w:rsidR="00AE7AF7" w:rsidRPr="00AE7AF7" w14:paraId="01C8E51A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191767A7" w14:textId="77777777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31F03973" w14:textId="074AF840" w:rsidR="00AE7AF7" w:rsidRPr="00AE7AF7" w:rsidRDefault="00DF5942" w:rsidP="00DF594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Archaeology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Study Field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Education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Informatics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Physical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Life Sciences Study Fields’ Groups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Professional Oral Hygiene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Public Health, Pharmacy, Nutrition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Medical Technology Study Fields, Agricultural Sciences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n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gineering Sciences 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except Pilot Training), T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echnologi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cal Sciences Study Fields’ Groups, P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cholog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y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Classical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Philology (by language)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Translation Studies</w:t>
            </w: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Area Studies Study Fields, 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Mat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>hematical Sciences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Study Field Group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502752">
              <w:rPr>
                <w:rFonts w:ascii="Times New Roman" w:hAnsi="Times New Roman"/>
                <w:sz w:val="22"/>
                <w:szCs w:val="22"/>
                <w:lang w:eastAsia="lt-LT"/>
              </w:rPr>
              <w:t>Rehabilitation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901D4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Nursing and </w:t>
            </w:r>
            <w:r w:rsidR="0050275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Obstetrics, Recreational Sport </w:t>
            </w:r>
            <w:r w:rsidR="00CA5E37">
              <w:rPr>
                <w:rFonts w:ascii="Times New Roman" w:hAnsi="Times New Roman"/>
                <w:sz w:val="22"/>
                <w:szCs w:val="22"/>
                <w:lang w:eastAsia="lt-LT"/>
              </w:rPr>
              <w:t>Study Fields</w:t>
            </w:r>
          </w:p>
        </w:tc>
        <w:tc>
          <w:tcPr>
            <w:tcW w:w="3686" w:type="dxa"/>
          </w:tcPr>
          <w:p w14:paraId="73B4666F" w14:textId="0B83C91C" w:rsidR="00AE7AF7" w:rsidRPr="00AE7AF7" w:rsidRDefault="002F65FB" w:rsidP="00C30000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5157</w:t>
            </w:r>
          </w:p>
        </w:tc>
      </w:tr>
      <w:tr w:rsidR="00AE7AF7" w:rsidRPr="00AE7AF7" w14:paraId="03C9BE63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7A48E10E" w14:textId="4EC99DB3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58EED4B7" w14:textId="5AB0E145" w:rsidR="00AE7AF7" w:rsidRPr="00AE7AF7" w:rsidRDefault="00C30000" w:rsidP="00807DC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Fine Art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Design Studies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Theatre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Film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Dance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Media Art Studies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Artworks Restoration, Competitive Sport</w:t>
            </w:r>
            <w:r w:rsidR="00AE7AF7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Archite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cture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Landscape Architecture</w:t>
            </w:r>
            <w:r w:rsidR="00DF5942" w:rsidRPr="00807DC2">
              <w:rPr>
                <w:rFonts w:ascii="Times New Roman" w:hAnsi="Times New Roman"/>
                <w:sz w:val="22"/>
                <w:szCs w:val="22"/>
                <w:lang w:eastAsia="lt-LT"/>
              </w:rPr>
              <w:t>,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r w:rsidR="00DF5942"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Medicin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e Study Field</w:t>
            </w:r>
            <w:r w:rsidR="00807DC2">
              <w:rPr>
                <w:rFonts w:ascii="Times New Roman" w:hAnsi="Times New Roman"/>
                <w:sz w:val="22"/>
                <w:szCs w:val="22"/>
                <w:lang w:eastAsia="lt-LT"/>
              </w:rPr>
              <w:t>s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, </w:t>
            </w:r>
            <w:r w:rsidR="002F65FB" w:rsidRPr="002F65FB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Public Security 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Study Fields’ Group</w:t>
            </w:r>
          </w:p>
        </w:tc>
        <w:tc>
          <w:tcPr>
            <w:tcW w:w="3686" w:type="dxa"/>
          </w:tcPr>
          <w:p w14:paraId="6293D741" w14:textId="59C6E6AD" w:rsidR="00AE7AF7" w:rsidRPr="00AE7AF7" w:rsidRDefault="00DF5942" w:rsidP="00807DC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495</w:t>
            </w:r>
          </w:p>
        </w:tc>
      </w:tr>
      <w:tr w:rsidR="00AE7AF7" w:rsidRPr="00AE7AF7" w14:paraId="1BD1793C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6D9994D5" w14:textId="379671D1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37EFAA69" w14:textId="348AF1F6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Mu</w:t>
            </w:r>
            <w:r w:rsidR="004116C6">
              <w:rPr>
                <w:rFonts w:ascii="Times New Roman" w:hAnsi="Times New Roman"/>
                <w:sz w:val="22"/>
                <w:szCs w:val="22"/>
                <w:lang w:eastAsia="lt-LT"/>
              </w:rPr>
              <w:t>sic</w:t>
            </w:r>
            <w:r w:rsidR="00DF5942">
              <w:rPr>
                <w:rFonts w:ascii="Times New Roman" w:hAnsi="Times New Roman"/>
                <w:sz w:val="22"/>
                <w:szCs w:val="22"/>
                <w:lang w:eastAsia="lt-LT"/>
              </w:rPr>
              <w:t>, Dentistry Study Fields, Veterinary Sciences Study Fields’ Group</w:t>
            </w:r>
          </w:p>
        </w:tc>
        <w:tc>
          <w:tcPr>
            <w:tcW w:w="3686" w:type="dxa"/>
          </w:tcPr>
          <w:p w14:paraId="458E0FA5" w14:textId="3E8C5AD5" w:rsidR="00AE7AF7" w:rsidRPr="00AE7AF7" w:rsidRDefault="002F65FB" w:rsidP="00DF594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9674</w:t>
            </w:r>
          </w:p>
        </w:tc>
      </w:tr>
      <w:tr w:rsidR="00AE7AF7" w:rsidRPr="00AE7AF7" w14:paraId="6DFF4889" w14:textId="77777777" w:rsidTr="00C30000">
        <w:trPr>
          <w:cantSplit/>
          <w:trHeight w:val="20"/>
        </w:trPr>
        <w:tc>
          <w:tcPr>
            <w:tcW w:w="1287" w:type="dxa"/>
            <w:shd w:val="clear" w:color="auto" w:fill="auto"/>
            <w:vAlign w:val="center"/>
          </w:tcPr>
          <w:p w14:paraId="4E24A333" w14:textId="0D3213BE" w:rsidR="00AE7AF7" w:rsidRPr="00AE7AF7" w:rsidRDefault="00DF5942" w:rsidP="00C30000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</w:p>
        </w:tc>
        <w:tc>
          <w:tcPr>
            <w:tcW w:w="9923" w:type="dxa"/>
            <w:shd w:val="clear" w:color="auto" w:fill="auto"/>
            <w:vAlign w:val="center"/>
          </w:tcPr>
          <w:p w14:paraId="6E95C267" w14:textId="04D9EB8D" w:rsidR="00AE7AF7" w:rsidRPr="00AE7AF7" w:rsidRDefault="00AE7AF7" w:rsidP="00C30000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AE7AF7">
              <w:rPr>
                <w:rFonts w:ascii="Times New Roman" w:hAnsi="Times New Roman"/>
                <w:sz w:val="22"/>
                <w:szCs w:val="22"/>
                <w:lang w:eastAsia="lt-LT"/>
              </w:rPr>
              <w:t>Pilot</w:t>
            </w:r>
            <w:r w:rsidR="00C30000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Training </w:t>
            </w:r>
          </w:p>
        </w:tc>
        <w:tc>
          <w:tcPr>
            <w:tcW w:w="3686" w:type="dxa"/>
          </w:tcPr>
          <w:p w14:paraId="382C3041" w14:textId="29856B02" w:rsidR="00AE7AF7" w:rsidRPr="00AE7AF7" w:rsidRDefault="00003E7A" w:rsidP="00807DC2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003E7A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2F65FB">
              <w:rPr>
                <w:rFonts w:ascii="Times New Roman" w:hAnsi="Times New Roman"/>
                <w:sz w:val="22"/>
                <w:szCs w:val="22"/>
                <w:lang w:eastAsia="lt-LT"/>
              </w:rPr>
              <w:t>9392</w:t>
            </w:r>
          </w:p>
        </w:tc>
      </w:tr>
    </w:tbl>
    <w:p w14:paraId="3B8563EC" w14:textId="2E2E671A" w:rsidR="005B26EB" w:rsidRPr="00AE7AF7" w:rsidRDefault="005B26EB" w:rsidP="00C3000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5B26EB" w:rsidRPr="00AE7AF7" w:rsidSect="00E51210">
      <w:headerReference w:type="first" r:id="rId10"/>
      <w:pgSz w:w="16840" w:h="11907" w:orient="landscape" w:code="9"/>
      <w:pgMar w:top="539" w:right="1000" w:bottom="561" w:left="1236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B6B1D" w14:textId="77777777" w:rsidR="00644522" w:rsidRDefault="00644522">
      <w:r>
        <w:separator/>
      </w:r>
    </w:p>
  </w:endnote>
  <w:endnote w:type="continuationSeparator" w:id="0">
    <w:p w14:paraId="1D222D98" w14:textId="77777777" w:rsidR="00644522" w:rsidRDefault="0064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B5C39" w14:textId="77777777" w:rsidR="00644522" w:rsidRDefault="00644522">
      <w:r>
        <w:separator/>
      </w:r>
    </w:p>
  </w:footnote>
  <w:footnote w:type="continuationSeparator" w:id="0">
    <w:p w14:paraId="673B7462" w14:textId="77777777" w:rsidR="00644522" w:rsidRDefault="00644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1B9A" w14:textId="77777777" w:rsidR="00611AEB" w:rsidRDefault="00611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C5E"/>
    <w:rsid w:val="00003E7A"/>
    <w:rsid w:val="00004C5E"/>
    <w:rsid w:val="0002139D"/>
    <w:rsid w:val="00043279"/>
    <w:rsid w:val="00046A6F"/>
    <w:rsid w:val="000519A8"/>
    <w:rsid w:val="00055AE5"/>
    <w:rsid w:val="000719D8"/>
    <w:rsid w:val="00072C11"/>
    <w:rsid w:val="00074F60"/>
    <w:rsid w:val="00077E2A"/>
    <w:rsid w:val="000E4284"/>
    <w:rsid w:val="0010774C"/>
    <w:rsid w:val="00121B8A"/>
    <w:rsid w:val="00124425"/>
    <w:rsid w:val="001A1D9B"/>
    <w:rsid w:val="001C36ED"/>
    <w:rsid w:val="00202945"/>
    <w:rsid w:val="00217752"/>
    <w:rsid w:val="0023620F"/>
    <w:rsid w:val="0024284F"/>
    <w:rsid w:val="00255684"/>
    <w:rsid w:val="00270F87"/>
    <w:rsid w:val="002750AE"/>
    <w:rsid w:val="00276A21"/>
    <w:rsid w:val="002A1D88"/>
    <w:rsid w:val="002B3226"/>
    <w:rsid w:val="002B3731"/>
    <w:rsid w:val="002B3BB6"/>
    <w:rsid w:val="002C6DB4"/>
    <w:rsid w:val="002E01CC"/>
    <w:rsid w:val="002E42DE"/>
    <w:rsid w:val="002F65FB"/>
    <w:rsid w:val="002F678D"/>
    <w:rsid w:val="00303507"/>
    <w:rsid w:val="00305F72"/>
    <w:rsid w:val="003073D9"/>
    <w:rsid w:val="00322CBF"/>
    <w:rsid w:val="003422F0"/>
    <w:rsid w:val="00370E3D"/>
    <w:rsid w:val="003760C8"/>
    <w:rsid w:val="00380A61"/>
    <w:rsid w:val="00383992"/>
    <w:rsid w:val="003A0FAB"/>
    <w:rsid w:val="003A32E1"/>
    <w:rsid w:val="003A7F53"/>
    <w:rsid w:val="003C7FA5"/>
    <w:rsid w:val="003E2B3A"/>
    <w:rsid w:val="003E7351"/>
    <w:rsid w:val="003F36CE"/>
    <w:rsid w:val="003F4A33"/>
    <w:rsid w:val="004116C6"/>
    <w:rsid w:val="004137B4"/>
    <w:rsid w:val="00421D7A"/>
    <w:rsid w:val="00435DB9"/>
    <w:rsid w:val="004367DC"/>
    <w:rsid w:val="00441551"/>
    <w:rsid w:val="004415CF"/>
    <w:rsid w:val="004903CD"/>
    <w:rsid w:val="00495F3B"/>
    <w:rsid w:val="004A4B0E"/>
    <w:rsid w:val="004A54CB"/>
    <w:rsid w:val="004B4FD9"/>
    <w:rsid w:val="004C2DCA"/>
    <w:rsid w:val="004D5A89"/>
    <w:rsid w:val="004E3AC0"/>
    <w:rsid w:val="004E7E23"/>
    <w:rsid w:val="004F796E"/>
    <w:rsid w:val="00500ED7"/>
    <w:rsid w:val="00502752"/>
    <w:rsid w:val="0053670F"/>
    <w:rsid w:val="00547280"/>
    <w:rsid w:val="005519A1"/>
    <w:rsid w:val="0055209D"/>
    <w:rsid w:val="005712FF"/>
    <w:rsid w:val="00572079"/>
    <w:rsid w:val="00576C7F"/>
    <w:rsid w:val="005A329B"/>
    <w:rsid w:val="005A7A59"/>
    <w:rsid w:val="005B26EB"/>
    <w:rsid w:val="005D5FD8"/>
    <w:rsid w:val="005F5644"/>
    <w:rsid w:val="00611AEB"/>
    <w:rsid w:val="006228E2"/>
    <w:rsid w:val="00630442"/>
    <w:rsid w:val="00633D97"/>
    <w:rsid w:val="00637128"/>
    <w:rsid w:val="00643C0A"/>
    <w:rsid w:val="00644522"/>
    <w:rsid w:val="00661880"/>
    <w:rsid w:val="00662BDA"/>
    <w:rsid w:val="006667AD"/>
    <w:rsid w:val="00670037"/>
    <w:rsid w:val="006726A0"/>
    <w:rsid w:val="0068590C"/>
    <w:rsid w:val="00691C15"/>
    <w:rsid w:val="00696E36"/>
    <w:rsid w:val="006B6733"/>
    <w:rsid w:val="006C5B74"/>
    <w:rsid w:val="006D562A"/>
    <w:rsid w:val="006F0458"/>
    <w:rsid w:val="006F3B16"/>
    <w:rsid w:val="0072042B"/>
    <w:rsid w:val="00730E0E"/>
    <w:rsid w:val="0076148F"/>
    <w:rsid w:val="00770C44"/>
    <w:rsid w:val="00781709"/>
    <w:rsid w:val="007874AF"/>
    <w:rsid w:val="00790C78"/>
    <w:rsid w:val="007E1962"/>
    <w:rsid w:val="00801F19"/>
    <w:rsid w:val="00805D6A"/>
    <w:rsid w:val="00807DC2"/>
    <w:rsid w:val="008352CF"/>
    <w:rsid w:val="00853EAE"/>
    <w:rsid w:val="00862CFD"/>
    <w:rsid w:val="00881D2F"/>
    <w:rsid w:val="008910C1"/>
    <w:rsid w:val="008A04CA"/>
    <w:rsid w:val="008A184A"/>
    <w:rsid w:val="008C19D4"/>
    <w:rsid w:val="008C5E98"/>
    <w:rsid w:val="008F3D0D"/>
    <w:rsid w:val="008F7731"/>
    <w:rsid w:val="009511A5"/>
    <w:rsid w:val="00971A56"/>
    <w:rsid w:val="00981B96"/>
    <w:rsid w:val="00982AED"/>
    <w:rsid w:val="009B33A0"/>
    <w:rsid w:val="009C5796"/>
    <w:rsid w:val="009E5021"/>
    <w:rsid w:val="009F73D4"/>
    <w:rsid w:val="00A0003B"/>
    <w:rsid w:val="00A179A4"/>
    <w:rsid w:val="00A3674A"/>
    <w:rsid w:val="00A3742B"/>
    <w:rsid w:val="00A4523A"/>
    <w:rsid w:val="00A618AA"/>
    <w:rsid w:val="00A73397"/>
    <w:rsid w:val="00A82C78"/>
    <w:rsid w:val="00A94C04"/>
    <w:rsid w:val="00A96BDD"/>
    <w:rsid w:val="00AA1DFF"/>
    <w:rsid w:val="00AE7AF7"/>
    <w:rsid w:val="00AF58DA"/>
    <w:rsid w:val="00B00BAF"/>
    <w:rsid w:val="00B077EA"/>
    <w:rsid w:val="00B07A3B"/>
    <w:rsid w:val="00B13C39"/>
    <w:rsid w:val="00B21512"/>
    <w:rsid w:val="00B33166"/>
    <w:rsid w:val="00B4381B"/>
    <w:rsid w:val="00B46BE4"/>
    <w:rsid w:val="00B56C8F"/>
    <w:rsid w:val="00B74573"/>
    <w:rsid w:val="00B75F0F"/>
    <w:rsid w:val="00B76BAC"/>
    <w:rsid w:val="00B80605"/>
    <w:rsid w:val="00B927EF"/>
    <w:rsid w:val="00BA65F9"/>
    <w:rsid w:val="00BA7BC7"/>
    <w:rsid w:val="00BB4C2A"/>
    <w:rsid w:val="00BC3B4F"/>
    <w:rsid w:val="00BE5B28"/>
    <w:rsid w:val="00BF101C"/>
    <w:rsid w:val="00BF3C60"/>
    <w:rsid w:val="00C13F47"/>
    <w:rsid w:val="00C162B1"/>
    <w:rsid w:val="00C20C4F"/>
    <w:rsid w:val="00C222C3"/>
    <w:rsid w:val="00C25248"/>
    <w:rsid w:val="00C25AB6"/>
    <w:rsid w:val="00C30000"/>
    <w:rsid w:val="00C52CC4"/>
    <w:rsid w:val="00C63583"/>
    <w:rsid w:val="00C867FC"/>
    <w:rsid w:val="00CA1D8B"/>
    <w:rsid w:val="00CA39E7"/>
    <w:rsid w:val="00CA5E37"/>
    <w:rsid w:val="00CA6D52"/>
    <w:rsid w:val="00CB35CE"/>
    <w:rsid w:val="00CE7E18"/>
    <w:rsid w:val="00D2328D"/>
    <w:rsid w:val="00D33384"/>
    <w:rsid w:val="00D70B77"/>
    <w:rsid w:val="00D83D37"/>
    <w:rsid w:val="00D84FE0"/>
    <w:rsid w:val="00D901D4"/>
    <w:rsid w:val="00DA0211"/>
    <w:rsid w:val="00DB47CC"/>
    <w:rsid w:val="00DB7142"/>
    <w:rsid w:val="00DC0A1F"/>
    <w:rsid w:val="00DD0539"/>
    <w:rsid w:val="00DE4B33"/>
    <w:rsid w:val="00DF529E"/>
    <w:rsid w:val="00DF5942"/>
    <w:rsid w:val="00E04180"/>
    <w:rsid w:val="00E068C3"/>
    <w:rsid w:val="00E06C11"/>
    <w:rsid w:val="00E22721"/>
    <w:rsid w:val="00E30061"/>
    <w:rsid w:val="00E34023"/>
    <w:rsid w:val="00E3402F"/>
    <w:rsid w:val="00E350B7"/>
    <w:rsid w:val="00E51210"/>
    <w:rsid w:val="00E55653"/>
    <w:rsid w:val="00E668CA"/>
    <w:rsid w:val="00E91F42"/>
    <w:rsid w:val="00EA2F81"/>
    <w:rsid w:val="00EA3614"/>
    <w:rsid w:val="00EC534B"/>
    <w:rsid w:val="00EC5CC6"/>
    <w:rsid w:val="00EC7555"/>
    <w:rsid w:val="00ED3E84"/>
    <w:rsid w:val="00EE1A5D"/>
    <w:rsid w:val="00EE55EF"/>
    <w:rsid w:val="00EF210A"/>
    <w:rsid w:val="00F32760"/>
    <w:rsid w:val="00F4467D"/>
    <w:rsid w:val="00F56698"/>
    <w:rsid w:val="00F575A6"/>
    <w:rsid w:val="00F61A47"/>
    <w:rsid w:val="00F6534C"/>
    <w:rsid w:val="00F714B5"/>
    <w:rsid w:val="00F96732"/>
    <w:rsid w:val="00FC4B42"/>
    <w:rsid w:val="00FD5714"/>
    <w:rsid w:val="00FD7990"/>
    <w:rsid w:val="00FE0F23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7E4FFEA"/>
  <w15:docId w15:val="{05C6B824-AAA4-40D2-B0FC-0523231E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4C5E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4C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4C5E"/>
  </w:style>
  <w:style w:type="paragraph" w:styleId="Header">
    <w:name w:val="header"/>
    <w:basedOn w:val="Normal"/>
    <w:rsid w:val="00BF101C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E668CA"/>
    <w:rPr>
      <w:rFonts w:ascii="Tahoma" w:hAnsi="Tahoma" w:cs="Tahoma"/>
      <w:sz w:val="16"/>
      <w:szCs w:val="16"/>
    </w:rPr>
  </w:style>
  <w:style w:type="paragraph" w:customStyle="1" w:styleId="CharCharDiagramaCharChar1DiagramaCharChar1DiagramaDiagramaDiagramaDiagrama">
    <w:name w:val="Char Char Diagrama Char Char1 Diagrama Char Char1 Diagrama Diagrama Diagrama Diagrama"/>
    <w:basedOn w:val="Normal"/>
    <w:rsid w:val="0078170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/>
    </w:rPr>
  </w:style>
  <w:style w:type="character" w:customStyle="1" w:styleId="apple-converted-space">
    <w:name w:val="apple-converted-space"/>
    <w:rsid w:val="0057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D9C1-44D7-4141-A027-0738254811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293CEE-65EF-4174-B6DA-75C710DFC0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FC296AC-86A9-4485-9C3C-104FA543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5137F0-AD3A-4CB0-BF63-CDC75E2E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8ca3c975-4c11-4625-94f1-29eb132b3c9c</vt:lpstr>
      <vt:lpstr>PATVIRTINTA</vt:lpstr>
    </vt:vector>
  </TitlesOfParts>
  <Company>smm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8ca3c975-4c11-4625-94f1-29eb132b3c9c</dc:title>
  <dc:creator>vpaltanaviciute</dc:creator>
  <cp:lastModifiedBy>Eglė Fišeraitė</cp:lastModifiedBy>
  <cp:revision>21</cp:revision>
  <cp:lastPrinted>2018-02-05T13:09:00Z</cp:lastPrinted>
  <dcterms:created xsi:type="dcterms:W3CDTF">2018-01-08T08:54:00Z</dcterms:created>
  <dcterms:modified xsi:type="dcterms:W3CDTF">2023-02-28T09:44:00Z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