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52A8" w14:textId="5D73EFC4" w:rsidR="00004C5E" w:rsidRPr="00AE7AF7" w:rsidRDefault="00E350B7" w:rsidP="00DF529E">
      <w:pPr>
        <w:ind w:left="9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CONFIRMED</w:t>
      </w:r>
    </w:p>
    <w:p w14:paraId="08FE1505" w14:textId="3D333E1F" w:rsidR="00E350B7" w:rsidRDefault="00E350B7" w:rsidP="00DF529E">
      <w:pPr>
        <w:ind w:left="9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the Minister of Education</w:t>
      </w:r>
      <w:r w:rsidR="00003E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C5E9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cience</w:t>
      </w:r>
      <w:r w:rsidR="00003E7A">
        <w:rPr>
          <w:rFonts w:ascii="Times New Roman" w:hAnsi="Times New Roman"/>
          <w:sz w:val="24"/>
          <w:szCs w:val="24"/>
        </w:rPr>
        <w:t xml:space="preserve"> and Sport</w:t>
      </w:r>
      <w:r>
        <w:rPr>
          <w:rFonts w:ascii="Times New Roman" w:hAnsi="Times New Roman"/>
          <w:sz w:val="24"/>
          <w:szCs w:val="24"/>
        </w:rPr>
        <w:t xml:space="preserve"> of the Republic of Lithuania</w:t>
      </w:r>
    </w:p>
    <w:p w14:paraId="7130C70E" w14:textId="51712FE6" w:rsidR="00004C5E" w:rsidRPr="00AE7AF7" w:rsidRDefault="00E350B7" w:rsidP="00DF529E">
      <w:pPr>
        <w:ind w:left="9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F36CE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3F36CE">
        <w:rPr>
          <w:rFonts w:ascii="Times New Roman" w:hAnsi="Times New Roman"/>
          <w:sz w:val="24"/>
          <w:szCs w:val="24"/>
        </w:rPr>
        <w:t>Jan</w:t>
      </w:r>
      <w:r w:rsidR="00CA5E37">
        <w:rPr>
          <w:rFonts w:ascii="Times New Roman" w:hAnsi="Times New Roman"/>
          <w:sz w:val="24"/>
          <w:szCs w:val="24"/>
        </w:rPr>
        <w:t>uary</w:t>
      </w:r>
      <w:r>
        <w:rPr>
          <w:rFonts w:ascii="Times New Roman" w:hAnsi="Times New Roman"/>
          <w:sz w:val="24"/>
          <w:szCs w:val="24"/>
        </w:rPr>
        <w:t xml:space="preserve"> </w:t>
      </w:r>
      <w:r w:rsidR="00004C5E" w:rsidRPr="00AE7AF7">
        <w:rPr>
          <w:rFonts w:ascii="Times New Roman" w:hAnsi="Times New Roman"/>
          <w:sz w:val="24"/>
          <w:szCs w:val="24"/>
        </w:rPr>
        <w:t>20</w:t>
      </w:r>
      <w:r w:rsidR="003F36CE">
        <w:rPr>
          <w:rFonts w:ascii="Times New Roman" w:hAnsi="Times New Roman"/>
          <w:sz w:val="24"/>
          <w:szCs w:val="24"/>
        </w:rPr>
        <w:t>2</w:t>
      </w:r>
      <w:r w:rsidR="00807D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A73397">
        <w:rPr>
          <w:rFonts w:ascii="Times New Roman" w:hAnsi="Times New Roman"/>
          <w:sz w:val="24"/>
          <w:szCs w:val="24"/>
        </w:rPr>
        <w:t>Order</w:t>
      </w:r>
      <w:r>
        <w:rPr>
          <w:rFonts w:ascii="Times New Roman" w:hAnsi="Times New Roman"/>
          <w:sz w:val="24"/>
          <w:szCs w:val="24"/>
        </w:rPr>
        <w:t xml:space="preserve"> No</w:t>
      </w:r>
      <w:r w:rsidR="00C162B1" w:rsidRPr="00AE7AF7">
        <w:rPr>
          <w:rFonts w:ascii="Times New Roman" w:hAnsi="Times New Roman"/>
          <w:sz w:val="24"/>
          <w:szCs w:val="24"/>
        </w:rPr>
        <w:t>.</w:t>
      </w:r>
      <w:r w:rsidR="00B00BAF" w:rsidRPr="00AE7AF7">
        <w:rPr>
          <w:rFonts w:ascii="Times New Roman" w:hAnsi="Times New Roman"/>
          <w:sz w:val="24"/>
          <w:szCs w:val="24"/>
        </w:rPr>
        <w:t xml:space="preserve"> </w:t>
      </w:r>
      <w:r w:rsidR="00AA1DFF" w:rsidRPr="00AE7AF7">
        <w:rPr>
          <w:rFonts w:ascii="Times New Roman" w:hAnsi="Times New Roman"/>
          <w:sz w:val="24"/>
          <w:szCs w:val="24"/>
        </w:rPr>
        <w:t>V-</w:t>
      </w:r>
      <w:r w:rsidR="004116C6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)</w:t>
      </w:r>
      <w:r w:rsidR="00C162B1" w:rsidRPr="00AE7AF7">
        <w:rPr>
          <w:rFonts w:ascii="Times New Roman" w:hAnsi="Times New Roman"/>
          <w:sz w:val="24"/>
          <w:szCs w:val="24"/>
        </w:rPr>
        <w:t xml:space="preserve"> </w:t>
      </w:r>
    </w:p>
    <w:p w14:paraId="77514920" w14:textId="77777777" w:rsidR="00004C5E" w:rsidRPr="00AE7AF7" w:rsidRDefault="00004C5E" w:rsidP="00004C5E">
      <w:pPr>
        <w:ind w:left="6235"/>
        <w:rPr>
          <w:rFonts w:ascii="Times New Roman" w:hAnsi="Times New Roman"/>
          <w:sz w:val="16"/>
          <w:szCs w:val="16"/>
        </w:rPr>
      </w:pPr>
    </w:p>
    <w:p w14:paraId="1B0B55C2" w14:textId="77777777" w:rsidR="00971A56" w:rsidRDefault="00971A56" w:rsidP="00004C5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6F3B67" w14:textId="1E0AD8D9" w:rsidR="00004C5E" w:rsidRPr="00C30000" w:rsidRDefault="00AE7AF7" w:rsidP="00004C5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30000">
        <w:rPr>
          <w:rFonts w:ascii="Times New Roman" w:hAnsi="Times New Roman"/>
          <w:b/>
          <w:sz w:val="28"/>
          <w:szCs w:val="28"/>
        </w:rPr>
        <w:t xml:space="preserve">NATIONAL STANDARD STUDY PRICES FOR FULL-TIME MASTER DEGREE STUDIES </w:t>
      </w:r>
    </w:p>
    <w:p w14:paraId="3A468BC0" w14:textId="77777777" w:rsidR="006667AD" w:rsidRPr="00AE7AF7" w:rsidRDefault="006667AD" w:rsidP="00B46BE4">
      <w:pPr>
        <w:tabs>
          <w:tab w:val="left" w:pos="4680"/>
        </w:tabs>
        <w:jc w:val="center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148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9923"/>
        <w:gridCol w:w="3686"/>
      </w:tblGrid>
      <w:tr w:rsidR="00AE7AF7" w:rsidRPr="00AE7AF7" w14:paraId="203F9166" w14:textId="73F636A6" w:rsidTr="00C30000">
        <w:trPr>
          <w:cantSplit/>
          <w:trHeight w:val="779"/>
        </w:trPr>
        <w:tc>
          <w:tcPr>
            <w:tcW w:w="12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C1A78" w14:textId="1ED60A87" w:rsidR="00AE7AF7" w:rsidRPr="00C30000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C30000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Seq. No.</w:t>
            </w:r>
          </w:p>
        </w:tc>
        <w:tc>
          <w:tcPr>
            <w:tcW w:w="99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03FA4" w14:textId="23485549" w:rsidR="00AE7AF7" w:rsidRPr="00C30000" w:rsidRDefault="00A96BDD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S</w:t>
            </w:r>
            <w:r w:rsidR="00AE7AF7" w:rsidRPr="00C30000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 xml:space="preserve">tudy field (study programme’s group) 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14:paraId="28FC9F26" w14:textId="77777777" w:rsidR="00A96BDD" w:rsidRPr="00A96BDD" w:rsidRDefault="00A96BDD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  <w:lang w:eastAsia="lt-LT"/>
              </w:rPr>
            </w:pPr>
          </w:p>
          <w:p w14:paraId="1D2E9C6A" w14:textId="77777777" w:rsidR="00C30000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C30000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 xml:space="preserve">National standard study price </w:t>
            </w:r>
          </w:p>
          <w:p w14:paraId="479B68ED" w14:textId="20335B29" w:rsidR="00AE7AF7" w:rsidRPr="00C30000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C30000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(EUR, per academic year)</w:t>
            </w:r>
          </w:p>
        </w:tc>
      </w:tr>
      <w:tr w:rsidR="00AE7AF7" w:rsidRPr="00AE7AF7" w14:paraId="263C9161" w14:textId="77777777" w:rsidTr="00A96BDD">
        <w:trPr>
          <w:cantSplit/>
          <w:trHeight w:val="379"/>
        </w:trPr>
        <w:tc>
          <w:tcPr>
            <w:tcW w:w="1287" w:type="dxa"/>
            <w:vMerge/>
            <w:vAlign w:val="center"/>
          </w:tcPr>
          <w:p w14:paraId="6F5F75DE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9923" w:type="dxa"/>
            <w:vMerge/>
            <w:vAlign w:val="center"/>
          </w:tcPr>
          <w:p w14:paraId="3C39C015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3686" w:type="dxa"/>
            <w:vMerge/>
          </w:tcPr>
          <w:p w14:paraId="23641971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</w:tr>
      <w:tr w:rsidR="00AE7AF7" w:rsidRPr="00AE7AF7" w14:paraId="2EB60CD7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7CA1FDF1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6D98003B" w14:textId="1D6D7FFE" w:rsidR="00AE7AF7" w:rsidRPr="00AE7AF7" w:rsidRDefault="00DF5942" w:rsidP="00CA5E37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Ling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uistics, Literary studies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Lingual Studies Study Fields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History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Philosophy, Theology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Heritage Studies, Religious Studies, Cultural Studies, History and Theory of Art, Economics, Political Sciences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ociolog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y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, 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ocial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Work, A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nt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hropology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Human Geography, I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nforma</w:t>
            </w:r>
            <w:bookmarkStart w:id="0" w:name="_GoBack"/>
            <w:bookmarkEnd w:id="0"/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tion Services, Communication, Publishing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Journalism Study Field, Law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Business and Public Administration </w:t>
            </w:r>
            <w:r w:rsidR="00CA5E37">
              <w:rPr>
                <w:rFonts w:ascii="Times New Roman" w:hAnsi="Times New Roman"/>
                <w:sz w:val="22"/>
                <w:szCs w:val="22"/>
                <w:lang w:eastAsia="lt-LT"/>
              </w:rPr>
              <w:t>Study Fields’ Groups</w:t>
            </w:r>
          </w:p>
        </w:tc>
        <w:tc>
          <w:tcPr>
            <w:tcW w:w="3686" w:type="dxa"/>
          </w:tcPr>
          <w:p w14:paraId="339B7518" w14:textId="4426C0DA" w:rsidR="00AE7AF7" w:rsidRPr="00AE7AF7" w:rsidRDefault="00807DC2" w:rsidP="003F36C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4096</w:t>
            </w:r>
            <w:r w:rsidR="003F36CE">
              <w:rPr>
                <w:rFonts w:ascii="Times New Roman" w:hAnsi="Times New Roman"/>
                <w:sz w:val="22"/>
                <w:szCs w:val="22"/>
                <w:lang w:eastAsia="lt-LT"/>
              </w:rPr>
              <w:t>,00</w:t>
            </w:r>
          </w:p>
        </w:tc>
      </w:tr>
      <w:tr w:rsidR="00AE7AF7" w:rsidRPr="00AE7AF7" w14:paraId="01C8E51A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191767A7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31F03973" w14:textId="63419C75" w:rsidR="00AE7AF7" w:rsidRPr="00AE7AF7" w:rsidRDefault="00DF5942" w:rsidP="00DF594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Archaeology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Education Sciences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Informatics Sciences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Physical Sciences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Life Sciences Study Fields’ Groups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Professional Oral Hygiene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Public Health, Pharmacy, Nutrition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Medical Technology Study Fields, Agricultural Sciences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E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n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gineering Sciences 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except Pilot Training), T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echnologi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cal Sciences Study Fields’ Groups, P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y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cholog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y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Classical Studies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Philology (by language)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Translation Studies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Area Studies Study Fields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Mat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hematical Sciences</w:t>
            </w:r>
            <w:r w:rsidR="00CA5E3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Study Field Group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502752">
              <w:rPr>
                <w:rFonts w:ascii="Times New Roman" w:hAnsi="Times New Roman"/>
                <w:sz w:val="22"/>
                <w:szCs w:val="22"/>
                <w:lang w:eastAsia="lt-LT"/>
              </w:rPr>
              <w:t>Rehabilitation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Nursing and </w:t>
            </w:r>
            <w:r w:rsidR="00502752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Obstetrics, Recreational Sport </w:t>
            </w:r>
            <w:r w:rsidR="00CA5E37">
              <w:rPr>
                <w:rFonts w:ascii="Times New Roman" w:hAnsi="Times New Roman"/>
                <w:sz w:val="22"/>
                <w:szCs w:val="22"/>
                <w:lang w:eastAsia="lt-LT"/>
              </w:rPr>
              <w:t>Study Fields</w:t>
            </w:r>
          </w:p>
        </w:tc>
        <w:tc>
          <w:tcPr>
            <w:tcW w:w="3686" w:type="dxa"/>
          </w:tcPr>
          <w:p w14:paraId="73B4666F" w14:textId="1AFDD662" w:rsidR="00AE7AF7" w:rsidRPr="00AE7AF7" w:rsidRDefault="00807DC2" w:rsidP="00C30000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4916</w:t>
            </w:r>
            <w:r w:rsidR="003F36CE">
              <w:rPr>
                <w:rFonts w:ascii="Times New Roman" w:hAnsi="Times New Roman"/>
                <w:sz w:val="22"/>
                <w:szCs w:val="22"/>
                <w:lang w:eastAsia="lt-LT"/>
              </w:rPr>
              <w:t>,00</w:t>
            </w:r>
          </w:p>
        </w:tc>
      </w:tr>
      <w:tr w:rsidR="00AE7AF7" w:rsidRPr="00AE7AF7" w14:paraId="03C9BE63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7A48E10E" w14:textId="4EC99DB3" w:rsidR="00AE7AF7" w:rsidRPr="00AE7AF7" w:rsidRDefault="00DF5942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58EED4B7" w14:textId="3646B751" w:rsidR="00AE7AF7" w:rsidRPr="00AE7AF7" w:rsidRDefault="00C30000" w:rsidP="00807DC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Fine Art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Design Studies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Theatre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Film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Dance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Media Art Studies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Artworks Restoration, Competitive Sport, Public Security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F5942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Archite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cture</w:t>
            </w:r>
            <w:r w:rsidR="00DF5942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Landscape Architecture</w:t>
            </w:r>
            <w:r w:rsidR="00DF5942" w:rsidRPr="00807DC2">
              <w:rPr>
                <w:rFonts w:ascii="Times New Roman" w:hAnsi="Times New Roman"/>
                <w:sz w:val="22"/>
                <w:szCs w:val="22"/>
                <w:lang w:eastAsia="lt-LT"/>
              </w:rPr>
              <w:t>,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</w:t>
            </w:r>
            <w:r w:rsidR="00DF5942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Medicin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e Study Field</w:t>
            </w:r>
            <w:r w:rsidR="00807DC2">
              <w:rPr>
                <w:rFonts w:ascii="Times New Roman" w:hAnsi="Times New Roman"/>
                <w:sz w:val="22"/>
                <w:szCs w:val="22"/>
                <w:lang w:eastAsia="lt-LT"/>
              </w:rPr>
              <w:t>s</w:t>
            </w:r>
          </w:p>
        </w:tc>
        <w:tc>
          <w:tcPr>
            <w:tcW w:w="3686" w:type="dxa"/>
          </w:tcPr>
          <w:p w14:paraId="6293D741" w14:textId="491F157F" w:rsidR="00AE7AF7" w:rsidRPr="00AE7AF7" w:rsidRDefault="00DF5942" w:rsidP="00807DC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 w:rsidR="00807DC2">
              <w:rPr>
                <w:rFonts w:ascii="Times New Roman" w:hAnsi="Times New Roman"/>
                <w:sz w:val="22"/>
                <w:szCs w:val="22"/>
                <w:lang w:eastAsia="lt-LT"/>
              </w:rPr>
              <w:t>18</w:t>
            </w:r>
            <w:r w:rsidR="003F36CE">
              <w:rPr>
                <w:rFonts w:ascii="Times New Roman" w:hAnsi="Times New Roman"/>
                <w:sz w:val="22"/>
                <w:szCs w:val="22"/>
                <w:lang w:eastAsia="lt-LT"/>
              </w:rPr>
              <w:t>,00</w:t>
            </w:r>
          </w:p>
        </w:tc>
      </w:tr>
      <w:tr w:rsidR="00AE7AF7" w:rsidRPr="00AE7AF7" w14:paraId="1BD1793C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6D9994D5" w14:textId="379671D1" w:rsidR="00AE7AF7" w:rsidRPr="00AE7AF7" w:rsidRDefault="00DF5942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37EFAA69" w14:textId="348AF1F6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Mu</w:t>
            </w:r>
            <w:r w:rsidR="004116C6">
              <w:rPr>
                <w:rFonts w:ascii="Times New Roman" w:hAnsi="Times New Roman"/>
                <w:sz w:val="22"/>
                <w:szCs w:val="22"/>
                <w:lang w:eastAsia="lt-LT"/>
              </w:rPr>
              <w:t>sic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Dentistry Study Fields,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Veterinary Sciences Study Fields’ Group</w:t>
            </w:r>
          </w:p>
        </w:tc>
        <w:tc>
          <w:tcPr>
            <w:tcW w:w="3686" w:type="dxa"/>
          </w:tcPr>
          <w:p w14:paraId="458E0FA5" w14:textId="72F05471" w:rsidR="00AE7AF7" w:rsidRPr="00AE7AF7" w:rsidRDefault="003F36CE" w:rsidP="00DF594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8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969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,00</w:t>
            </w:r>
          </w:p>
        </w:tc>
      </w:tr>
      <w:tr w:rsidR="00AE7AF7" w:rsidRPr="00AE7AF7" w14:paraId="6DFF4889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4E24A333" w14:textId="0D3213BE" w:rsidR="00AE7AF7" w:rsidRPr="00AE7AF7" w:rsidRDefault="00DF5942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6E95C267" w14:textId="04D9EB8D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Pilot</w:t>
            </w:r>
            <w:r w:rsidR="00C30000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Training </w:t>
            </w:r>
          </w:p>
        </w:tc>
        <w:tc>
          <w:tcPr>
            <w:tcW w:w="3686" w:type="dxa"/>
          </w:tcPr>
          <w:p w14:paraId="382C3041" w14:textId="003AA9D7" w:rsidR="00AE7AF7" w:rsidRPr="00AE7AF7" w:rsidRDefault="00003E7A" w:rsidP="00807DC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003E7A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="00807DC2">
              <w:rPr>
                <w:rFonts w:ascii="Times New Roman" w:hAnsi="Times New Roman"/>
                <w:sz w:val="22"/>
                <w:szCs w:val="22"/>
                <w:lang w:eastAsia="lt-LT"/>
              </w:rPr>
              <w:t>8452</w:t>
            </w:r>
            <w:r w:rsidR="003F36CE">
              <w:rPr>
                <w:rFonts w:ascii="Times New Roman" w:hAnsi="Times New Roman"/>
                <w:sz w:val="22"/>
                <w:szCs w:val="22"/>
                <w:lang w:eastAsia="lt-LT"/>
              </w:rPr>
              <w:t>,00</w:t>
            </w:r>
          </w:p>
        </w:tc>
      </w:tr>
    </w:tbl>
    <w:p w14:paraId="3B8563EC" w14:textId="2E2E671A" w:rsidR="005B26EB" w:rsidRPr="00AE7AF7" w:rsidRDefault="005B26EB" w:rsidP="00C300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5B26EB" w:rsidRPr="00AE7AF7" w:rsidSect="00E51210">
      <w:headerReference w:type="first" r:id="rId10"/>
      <w:pgSz w:w="16840" w:h="11907" w:orient="landscape" w:code="9"/>
      <w:pgMar w:top="539" w:right="1000" w:bottom="561" w:left="1236" w:header="28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B6B1D" w14:textId="77777777" w:rsidR="00644522" w:rsidRDefault="00644522">
      <w:r>
        <w:separator/>
      </w:r>
    </w:p>
  </w:endnote>
  <w:endnote w:type="continuationSeparator" w:id="0">
    <w:p w14:paraId="1D222D98" w14:textId="77777777" w:rsidR="00644522" w:rsidRDefault="0064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B5C39" w14:textId="77777777" w:rsidR="00644522" w:rsidRDefault="00644522">
      <w:r>
        <w:separator/>
      </w:r>
    </w:p>
  </w:footnote>
  <w:footnote w:type="continuationSeparator" w:id="0">
    <w:p w14:paraId="673B7462" w14:textId="77777777" w:rsidR="00644522" w:rsidRDefault="0064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91B9A" w14:textId="77777777" w:rsidR="00611AEB" w:rsidRDefault="00611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5E"/>
    <w:rsid w:val="00003E7A"/>
    <w:rsid w:val="00004C5E"/>
    <w:rsid w:val="0002139D"/>
    <w:rsid w:val="00043279"/>
    <w:rsid w:val="00046A6F"/>
    <w:rsid w:val="000519A8"/>
    <w:rsid w:val="00055AE5"/>
    <w:rsid w:val="000719D8"/>
    <w:rsid w:val="00072C11"/>
    <w:rsid w:val="00074F60"/>
    <w:rsid w:val="00077E2A"/>
    <w:rsid w:val="000E4284"/>
    <w:rsid w:val="0010774C"/>
    <w:rsid w:val="00121B8A"/>
    <w:rsid w:val="00124425"/>
    <w:rsid w:val="001A1D9B"/>
    <w:rsid w:val="001C36ED"/>
    <w:rsid w:val="00202945"/>
    <w:rsid w:val="00217752"/>
    <w:rsid w:val="0023620F"/>
    <w:rsid w:val="0024284F"/>
    <w:rsid w:val="00255684"/>
    <w:rsid w:val="00270F87"/>
    <w:rsid w:val="002750AE"/>
    <w:rsid w:val="00276A21"/>
    <w:rsid w:val="002A1D88"/>
    <w:rsid w:val="002B3226"/>
    <w:rsid w:val="002B3731"/>
    <w:rsid w:val="002B3BB6"/>
    <w:rsid w:val="002C6DB4"/>
    <w:rsid w:val="002E01CC"/>
    <w:rsid w:val="002E42DE"/>
    <w:rsid w:val="002F678D"/>
    <w:rsid w:val="00303507"/>
    <w:rsid w:val="00305F72"/>
    <w:rsid w:val="003073D9"/>
    <w:rsid w:val="00322CBF"/>
    <w:rsid w:val="003422F0"/>
    <w:rsid w:val="00370E3D"/>
    <w:rsid w:val="003760C8"/>
    <w:rsid w:val="00380A61"/>
    <w:rsid w:val="00383992"/>
    <w:rsid w:val="003A0FAB"/>
    <w:rsid w:val="003A32E1"/>
    <w:rsid w:val="003A7F53"/>
    <w:rsid w:val="003C7FA5"/>
    <w:rsid w:val="003E2B3A"/>
    <w:rsid w:val="003E7351"/>
    <w:rsid w:val="003F36CE"/>
    <w:rsid w:val="003F4A33"/>
    <w:rsid w:val="004116C6"/>
    <w:rsid w:val="004137B4"/>
    <w:rsid w:val="00421D7A"/>
    <w:rsid w:val="00435DB9"/>
    <w:rsid w:val="004367DC"/>
    <w:rsid w:val="00441551"/>
    <w:rsid w:val="004415CF"/>
    <w:rsid w:val="004903CD"/>
    <w:rsid w:val="00495F3B"/>
    <w:rsid w:val="004A4B0E"/>
    <w:rsid w:val="004A54CB"/>
    <w:rsid w:val="004B4FD9"/>
    <w:rsid w:val="004C2DCA"/>
    <w:rsid w:val="004D5A89"/>
    <w:rsid w:val="004E3AC0"/>
    <w:rsid w:val="004E7E23"/>
    <w:rsid w:val="004F796E"/>
    <w:rsid w:val="00500ED7"/>
    <w:rsid w:val="00502752"/>
    <w:rsid w:val="0053670F"/>
    <w:rsid w:val="00547280"/>
    <w:rsid w:val="005519A1"/>
    <w:rsid w:val="0055209D"/>
    <w:rsid w:val="005712FF"/>
    <w:rsid w:val="00572079"/>
    <w:rsid w:val="00576C7F"/>
    <w:rsid w:val="005A329B"/>
    <w:rsid w:val="005A7A59"/>
    <w:rsid w:val="005B26EB"/>
    <w:rsid w:val="005D5FD8"/>
    <w:rsid w:val="005F5644"/>
    <w:rsid w:val="00611AEB"/>
    <w:rsid w:val="006228E2"/>
    <w:rsid w:val="00630442"/>
    <w:rsid w:val="00633D97"/>
    <w:rsid w:val="00637128"/>
    <w:rsid w:val="00643C0A"/>
    <w:rsid w:val="00644522"/>
    <w:rsid w:val="00661880"/>
    <w:rsid w:val="00662BDA"/>
    <w:rsid w:val="006667AD"/>
    <w:rsid w:val="00670037"/>
    <w:rsid w:val="006726A0"/>
    <w:rsid w:val="0068590C"/>
    <w:rsid w:val="00691C15"/>
    <w:rsid w:val="00696E36"/>
    <w:rsid w:val="006B6733"/>
    <w:rsid w:val="006C5B74"/>
    <w:rsid w:val="006D562A"/>
    <w:rsid w:val="006F0458"/>
    <w:rsid w:val="006F3B16"/>
    <w:rsid w:val="0072042B"/>
    <w:rsid w:val="00730E0E"/>
    <w:rsid w:val="0076148F"/>
    <w:rsid w:val="00770C44"/>
    <w:rsid w:val="00781709"/>
    <w:rsid w:val="007874AF"/>
    <w:rsid w:val="00790C78"/>
    <w:rsid w:val="007E1962"/>
    <w:rsid w:val="00801F19"/>
    <w:rsid w:val="00805D6A"/>
    <w:rsid w:val="00807DC2"/>
    <w:rsid w:val="008352CF"/>
    <w:rsid w:val="00853EAE"/>
    <w:rsid w:val="00862CFD"/>
    <w:rsid w:val="00881D2F"/>
    <w:rsid w:val="008910C1"/>
    <w:rsid w:val="008A04CA"/>
    <w:rsid w:val="008A184A"/>
    <w:rsid w:val="008C19D4"/>
    <w:rsid w:val="008C5E98"/>
    <w:rsid w:val="008F3D0D"/>
    <w:rsid w:val="008F7731"/>
    <w:rsid w:val="009511A5"/>
    <w:rsid w:val="00971A56"/>
    <w:rsid w:val="00981B96"/>
    <w:rsid w:val="00982AED"/>
    <w:rsid w:val="009B33A0"/>
    <w:rsid w:val="009C5796"/>
    <w:rsid w:val="009E5021"/>
    <w:rsid w:val="009F73D4"/>
    <w:rsid w:val="00A0003B"/>
    <w:rsid w:val="00A179A4"/>
    <w:rsid w:val="00A3674A"/>
    <w:rsid w:val="00A3742B"/>
    <w:rsid w:val="00A4523A"/>
    <w:rsid w:val="00A618AA"/>
    <w:rsid w:val="00A73397"/>
    <w:rsid w:val="00A82C78"/>
    <w:rsid w:val="00A94C04"/>
    <w:rsid w:val="00A96BDD"/>
    <w:rsid w:val="00AA1DFF"/>
    <w:rsid w:val="00AE7AF7"/>
    <w:rsid w:val="00AF58DA"/>
    <w:rsid w:val="00B00BAF"/>
    <w:rsid w:val="00B077EA"/>
    <w:rsid w:val="00B07A3B"/>
    <w:rsid w:val="00B13C39"/>
    <w:rsid w:val="00B21512"/>
    <w:rsid w:val="00B33166"/>
    <w:rsid w:val="00B4381B"/>
    <w:rsid w:val="00B46BE4"/>
    <w:rsid w:val="00B56C8F"/>
    <w:rsid w:val="00B74573"/>
    <w:rsid w:val="00B75F0F"/>
    <w:rsid w:val="00B76BAC"/>
    <w:rsid w:val="00B80605"/>
    <w:rsid w:val="00B927EF"/>
    <w:rsid w:val="00BA65F9"/>
    <w:rsid w:val="00BA7BC7"/>
    <w:rsid w:val="00BB4C2A"/>
    <w:rsid w:val="00BC3B4F"/>
    <w:rsid w:val="00BE5B28"/>
    <w:rsid w:val="00BF101C"/>
    <w:rsid w:val="00BF3C60"/>
    <w:rsid w:val="00C13F47"/>
    <w:rsid w:val="00C162B1"/>
    <w:rsid w:val="00C20C4F"/>
    <w:rsid w:val="00C222C3"/>
    <w:rsid w:val="00C25248"/>
    <w:rsid w:val="00C25AB6"/>
    <w:rsid w:val="00C30000"/>
    <w:rsid w:val="00C52CC4"/>
    <w:rsid w:val="00C63583"/>
    <w:rsid w:val="00C867FC"/>
    <w:rsid w:val="00CA1D8B"/>
    <w:rsid w:val="00CA39E7"/>
    <w:rsid w:val="00CA5E37"/>
    <w:rsid w:val="00CA6D52"/>
    <w:rsid w:val="00CB35CE"/>
    <w:rsid w:val="00CE7E18"/>
    <w:rsid w:val="00D2328D"/>
    <w:rsid w:val="00D33384"/>
    <w:rsid w:val="00D70B77"/>
    <w:rsid w:val="00D83D37"/>
    <w:rsid w:val="00D84FE0"/>
    <w:rsid w:val="00D901D4"/>
    <w:rsid w:val="00DA0211"/>
    <w:rsid w:val="00DB47CC"/>
    <w:rsid w:val="00DB7142"/>
    <w:rsid w:val="00DC0A1F"/>
    <w:rsid w:val="00DD0539"/>
    <w:rsid w:val="00DE4B33"/>
    <w:rsid w:val="00DF529E"/>
    <w:rsid w:val="00DF5942"/>
    <w:rsid w:val="00E04180"/>
    <w:rsid w:val="00E068C3"/>
    <w:rsid w:val="00E06C11"/>
    <w:rsid w:val="00E22721"/>
    <w:rsid w:val="00E30061"/>
    <w:rsid w:val="00E34023"/>
    <w:rsid w:val="00E3402F"/>
    <w:rsid w:val="00E350B7"/>
    <w:rsid w:val="00E51210"/>
    <w:rsid w:val="00E55653"/>
    <w:rsid w:val="00E668CA"/>
    <w:rsid w:val="00E91F42"/>
    <w:rsid w:val="00EA2F81"/>
    <w:rsid w:val="00EA3614"/>
    <w:rsid w:val="00EC5CC6"/>
    <w:rsid w:val="00EC7555"/>
    <w:rsid w:val="00ED3E84"/>
    <w:rsid w:val="00EE1A5D"/>
    <w:rsid w:val="00EE55EF"/>
    <w:rsid w:val="00EF210A"/>
    <w:rsid w:val="00F32760"/>
    <w:rsid w:val="00F4467D"/>
    <w:rsid w:val="00F56698"/>
    <w:rsid w:val="00F575A6"/>
    <w:rsid w:val="00F61A47"/>
    <w:rsid w:val="00F6534C"/>
    <w:rsid w:val="00F714B5"/>
    <w:rsid w:val="00F96732"/>
    <w:rsid w:val="00FC4B42"/>
    <w:rsid w:val="00FD5714"/>
    <w:rsid w:val="00FD7990"/>
    <w:rsid w:val="00FE0F23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E4FFEA"/>
  <w15:docId w15:val="{05C6B824-AAA4-40D2-B0FC-0523231E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5E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4C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4C5E"/>
  </w:style>
  <w:style w:type="paragraph" w:styleId="Header">
    <w:name w:val="header"/>
    <w:basedOn w:val="Normal"/>
    <w:rsid w:val="00BF101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E668CA"/>
    <w:rPr>
      <w:rFonts w:ascii="Tahoma" w:hAnsi="Tahoma" w:cs="Tahoma"/>
      <w:sz w:val="16"/>
      <w:szCs w:val="16"/>
    </w:rPr>
  </w:style>
  <w:style w:type="paragraph" w:customStyle="1" w:styleId="CharCharDiagramaCharChar1DiagramaCharChar1DiagramaDiagramaDiagramaDiagrama">
    <w:name w:val="Char Char Diagrama Char Char1 Diagrama Char Char1 Diagrama Diagrama Diagrama Diagrama"/>
    <w:basedOn w:val="Normal"/>
    <w:rsid w:val="0078170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/>
    </w:rPr>
  </w:style>
  <w:style w:type="character" w:customStyle="1" w:styleId="apple-converted-space">
    <w:name w:val="apple-converted-space"/>
    <w:rsid w:val="0057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3CEE-65EF-4174-B6DA-75C710DFC06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C296AC-86A9-4485-9C3C-104FA5434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9D9C1-44D7-4141-A027-073825481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0AC7C-8988-401D-A0C4-304E6228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8ca3c975-4c11-4625-94f1-29eb132b3c9c</vt:lpstr>
      <vt:lpstr>PATVIRTINTA</vt:lpstr>
    </vt:vector>
  </TitlesOfParts>
  <Company>smm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8ca3c975-4c11-4625-94f1-29eb132b3c9c</dc:title>
  <dc:creator>vpaltanaviciute</dc:creator>
  <cp:lastModifiedBy>Eglė Fišeraitė</cp:lastModifiedBy>
  <cp:revision>19</cp:revision>
  <cp:lastPrinted>2018-02-05T13:09:00Z</cp:lastPrinted>
  <dcterms:created xsi:type="dcterms:W3CDTF">2018-01-08T08:54:00Z</dcterms:created>
  <dcterms:modified xsi:type="dcterms:W3CDTF">2022-02-07T11:26:00Z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